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440"/>
      </w:pP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508760" cy="1508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hominds-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720"/>
      </w:pPr>
    </w:p>
    <w:p>
      <w:pPr>
        <w:jc w:val="center"/>
      </w:pPr>
      <w:r>
        <w:rPr>
          <w:rFonts w:ascii="Aptos" w:hAnsi="Aptos"/>
          <w:b/>
          <w:i w:val="0"/>
          <w:color w:val="FF785F"/>
          <w:sz w:val="20"/>
        </w:rPr>
        <w:t>DATA INTELLIGENCE PLATFORM</w:t>
      </w:r>
    </w:p>
    <w:p>
      <w:pPr>
        <w:jc w:val="center"/>
      </w:pPr>
      <w:r>
        <w:rPr>
          <w:rFonts w:ascii="Aptos Display" w:hAnsi="Aptos Display"/>
          <w:b/>
          <w:i w:val="0"/>
          <w:color w:val="102C27"/>
          <w:sz w:val="60"/>
        </w:rPr>
        <w:t>Rho Data Management</w:t>
      </w:r>
    </w:p>
    <w:p>
      <w:pPr>
        <w:jc w:val="center"/>
      </w:pPr>
      <w:r>
        <w:rPr>
          <w:rFonts w:ascii="Aptos" w:hAnsi="Aptos"/>
          <w:b w:val="0"/>
          <w:i w:val="0"/>
          <w:color w:val="1F4D78"/>
          <w:sz w:val="28"/>
        </w:rPr>
        <w:t>A code-verified guide to database exploration, profiling, restructuring, transfer, and presentation</w:t>
      </w:r>
    </w:p>
    <w:p>
      <w:pPr>
        <w:spacing w:after="720"/>
      </w:pP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51560" cy="71449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management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144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720"/>
        <w:jc w:val="center"/>
      </w:pPr>
      <w:r>
        <w:rPr>
          <w:rFonts w:ascii="Aptos" w:hAnsi="Aptos"/>
          <w:b w:val="0"/>
          <w:i/>
          <w:color w:val="66736F"/>
          <w:sz w:val="18"/>
        </w:rPr>
        <w:t>Prepared from the product source code and architecture available in the RhoMinds workspace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PRODUCT DEFINITION</w:t>
      </w:r>
    </w:p>
    <w:p>
      <w:pPr>
        <w:pStyle w:val="Heading1"/>
      </w:pPr>
      <w:r>
        <w:t>Executive overview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What the product is, how it is built, and where it creates distinctive value.</w:t>
      </w:r>
    </w:p>
    <w:p>
      <w:r>
        <w:t>Rho Data Management is a Windows desktop workbench that brings structural database work, data-quality investigation, statistical analysis, controlled import/export, and Excel-oriented presentation into one operational flow. It is not only a database browser and not only a reporting tool: the application lets a user understand data, change it, move it, and present the result without repeatedly rebuilding context in unrelated applications.</w:t>
      </w:r>
    </w:p>
    <w:p>
      <w:r>
        <w:t>The implementation separates user controls from application commands and queries. MediatR command/query handlers coordinate database work through a shared repository contract, with concrete repositories for SQL Server, MySQL, and SQLite. This makes the same core operations available across different engines while preserving engine-specific persistence behavior.</w:t>
      </w:r>
    </w:p>
    <w:p>
      <w:r>
        <w:t>The strongest product value is the sequence: inspect definitions, validate names or scripts, measure completeness and statistical shape, decide what to restructure or transfer, run a pre-check, execute the controlled operation, and publish results to files, statistics outputs, charts, or Excel layouts.</w:t>
      </w:r>
    </w:p>
    <w:p>
      <w:pPr>
        <w:pStyle w:val="Heading2"/>
      </w:pPr>
      <w:r>
        <w:t>Who the platform serves</w:t>
      </w:r>
    </w:p>
    <w:tbl>
      <w:tblPr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  <w:tblInd w:w="120" w:type="dxa"/>
        <w:tblInd w:w="120" w:type="dxa"/>
        <w:tblInd w:w="120" w:type="dxa"/>
        <w:tblInd w:w="120" w:type="dxa"/>
      </w:tblPr>
      <w:tblGrid>
        <w:gridCol w:w="2700"/>
        <w:gridCol w:w="6660"/>
      </w:tblGrid>
      <w:tr>
        <w:tc>
          <w:tcPr>
            <w:tcW w:type="dxa" w:w="2700"/>
            <w:shd w:fill="E8EEF5"/>
          </w:tcPr>
          <w:p>
            <w:r>
              <w:rPr>
                <w:rFonts w:ascii="Aptos" w:hAnsi="Aptos"/>
                <w:b/>
                <w:i w:val="0"/>
                <w:color w:val="102C27"/>
                <w:sz w:val="20"/>
              </w:rPr>
              <w:t>Role</w:t>
            </w:r>
          </w:p>
        </w:tc>
        <w:tc>
          <w:tcPr>
            <w:tcW w:type="dxa" w:w="6660"/>
            <w:shd w:fill="E8EEF5"/>
          </w:tcPr>
          <w:p>
            <w:r>
              <w:rPr>
                <w:rFonts w:ascii="Aptos" w:hAnsi="Aptos"/>
                <w:b/>
                <w:i w:val="0"/>
                <w:color w:val="102C27"/>
                <w:sz w:val="20"/>
              </w:rPr>
              <w:t>Primary value</w:t>
            </w:r>
          </w:p>
        </w:tc>
      </w:tr>
      <w:tr>
        <w:tc>
          <w:tcPr>
            <w:tcW w:type="dxa" w:w="2700"/>
          </w:tcPr>
          <w:p>
            <w:r>
              <w:t>Data analyst</w:t>
            </w:r>
          </w:p>
        </w:tc>
        <w:tc>
          <w:tcPr>
            <w:tcW w:type="dxa" w:w="6660"/>
          </w:tcPr>
          <w:p>
            <w:r>
              <w:t>Profiles tables, explores distributions and relationships, prepares extracts and presentations.</w:t>
            </w:r>
          </w:p>
        </w:tc>
      </w:tr>
      <w:tr>
        <w:tc>
          <w:tcPr>
            <w:tcW w:type="dxa" w:w="2700"/>
          </w:tcPr>
          <w:p>
            <w:r>
              <w:t>Database administrator</w:t>
            </w:r>
          </w:p>
        </w:tc>
        <w:tc>
          <w:tcPr>
            <w:tcW w:type="dxa" w:w="6660"/>
          </w:tcPr>
          <w:p>
            <w:r>
              <w:t>Inspects definitions, validates changes, restructures tables and columns, and controls cross-table movement.</w:t>
            </w:r>
          </w:p>
        </w:tc>
      </w:tr>
      <w:tr>
        <w:tc>
          <w:tcPr>
            <w:tcW w:type="dxa" w:w="2700"/>
          </w:tcPr>
          <w:p>
            <w:r>
              <w:t>Application support</w:t>
            </w:r>
          </w:p>
        </w:tc>
        <w:tc>
          <w:tcPr>
            <w:tcW w:type="dxa" w:w="6660"/>
          </w:tcPr>
          <w:p>
            <w:r>
              <w:t>Investigates operational data without assembling a new script/tool chain for every incident.</w:t>
            </w:r>
          </w:p>
        </w:tc>
      </w:tr>
      <w:tr>
        <w:tc>
          <w:tcPr>
            <w:tcW w:type="dxa" w:w="2700"/>
          </w:tcPr>
          <w:p>
            <w:r>
              <w:t>Reporting specialist</w:t>
            </w:r>
          </w:p>
        </w:tc>
        <w:tc>
          <w:tcPr>
            <w:tcW w:type="dxa" w:w="6660"/>
          </w:tcPr>
          <w:p>
            <w:r>
              <w:t>Builds reusable Excel layouts, chart views, rules, and statistics exports from selected data.</w:t>
            </w:r>
          </w:p>
        </w:tc>
      </w:tr>
    </w:tbl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FUNCTIONAL SCOPE</w:t>
      </w:r>
    </w:p>
    <w:p>
      <w:pPr>
        <w:pStyle w:val="Heading1"/>
      </w:pPr>
      <w:r>
        <w:t>Capability map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The application areas confirmed by commands, queries, entities, screens, services, and repositories.</w:t>
      </w:r>
    </w:p>
    <w:p>
      <w:pPr>
        <w:pStyle w:val="Heading2"/>
      </w:pPr>
      <w:r>
        <w:t>Database discovery and definition</w:t>
      </w:r>
    </w:p>
    <w:p>
      <w:r>
        <w:t>Enumerates tables; retrieves table and column definitions; inspects column metadata across one or many tables; represents databases, connections, columns, tables, and table relations as explicit DTOs.</w:t>
      </w:r>
    </w:p>
    <w:p>
      <w:pPr>
        <w:pStyle w:val="Heading2"/>
      </w:pPr>
      <w:r>
        <w:t>Validated structural change</w:t>
      </w:r>
    </w:p>
    <w:p>
      <w:r>
        <w:t>Creates tables; drops tables or columns; renames tables or columns; validates table and column names; tests scripts before execution; retrieves a transaction object for coordinated work.</w:t>
      </w:r>
    </w:p>
    <w:p>
      <w:pPr>
        <w:pStyle w:val="Heading2"/>
      </w:pPr>
      <w:r>
        <w:t>Data retrieval and movement</w:t>
      </w:r>
    </w:p>
    <w:p>
      <w:r>
        <w:t>Reads tables, selected columns, or arbitrary query results; inserts rows; moves data to another table; copies query results into a new database table.</w:t>
      </w:r>
    </w:p>
    <w:p>
      <w:pPr>
        <w:pStyle w:val="Heading2"/>
      </w:pPr>
      <w:r>
        <w:t>Quality and descriptive statistics</w:t>
      </w:r>
    </w:p>
    <w:p>
      <w:r>
        <w:t>Finds missing values; calculates frequency distributions; produces table-level and column-level statistics; surfaces structured statistic result items rather than only raw query output.</w:t>
      </w:r>
    </w:p>
    <w:p>
      <w:pPr>
        <w:pStyle w:val="Heading2"/>
      </w:pPr>
      <w:r>
        <w:t>Relationship analysis</w:t>
      </w:r>
    </w:p>
    <w:p>
      <w:r>
        <w:t>Calculates Pearson correlation for linear relationships and Spearman rho for rank/monotonic relationships, allowing users to test relationships from within the same data workspace.</w:t>
      </w:r>
    </w:p>
    <w:p>
      <w:pPr>
        <w:pStyle w:val="Heading2"/>
      </w:pPr>
      <w:r>
        <w:t>Import control</w:t>
      </w:r>
    </w:p>
    <w:p>
      <w:r>
        <w:t>Runs a pre-check before import; supports delimiter selection, import-type settings, table-exists policies, inferred/selected table columns, and data-type suggestions based on column names.</w:t>
      </w:r>
    </w:p>
    <w:p>
      <w:pPr>
        <w:pStyle w:val="Heading2"/>
      </w:pPr>
      <w:r>
        <w:t>Export and publication</w:t>
      </w:r>
    </w:p>
    <w:p>
      <w:r>
        <w:t>Exports files, exports table statistics, applies file-exists policies, and sends selected results into chart and Excel presentation workflows.</w:t>
      </w:r>
    </w:p>
    <w:p>
      <w:pPr>
        <w:pStyle w:val="Heading2"/>
      </w:pPr>
      <w:r>
        <w:t>Excel presentation design</w:t>
      </w:r>
    </w:p>
    <w:p>
      <w:r>
        <w:t>Defines worksheets, layouts, cell ranges, visibility modes, rules, date formats, chart types, and sidebar-driven presentation controls through the DataPresenter application.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OPERATIONAL DESIGN</w:t>
      </w:r>
    </w:p>
    <w:p>
      <w:pPr>
        <w:pStyle w:val="Heading1"/>
      </w:pPr>
      <w:r>
        <w:t>End-to-end workflows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How separate capabilities combine into outcomes for real users.</w:t>
      </w:r>
    </w:p>
    <w:p>
      <w:pPr>
        <w:pStyle w:val="Heading2"/>
      </w:pPr>
      <w:r>
        <w:t>Profile an unfamiliar database</w:t>
      </w:r>
    </w:p>
    <w:p>
      <w:pPr>
        <w:pStyle w:val="ListNumber"/>
      </w:pPr>
      <w:r>
        <w:t>Connect through a supported repository implementation.</w:t>
      </w:r>
    </w:p>
    <w:p>
      <w:pPr>
        <w:pStyle w:val="ListNumber"/>
      </w:pPr>
      <w:r>
        <w:t>Enumerate tables and retrieve definitions and column metadata.</w:t>
      </w:r>
    </w:p>
    <w:p>
      <w:pPr>
        <w:pStyle w:val="ListNumber"/>
      </w:pPr>
      <w:r>
        <w:t>Inspect selected table or column data.</w:t>
      </w:r>
    </w:p>
    <w:p>
      <w:pPr>
        <w:pStyle w:val="ListNumber"/>
      </w:pPr>
      <w:r>
        <w:t>Run missing-value, frequency, and descriptive-statistics queries.</w:t>
      </w:r>
    </w:p>
    <w:p>
      <w:pPr>
        <w:pStyle w:val="ListNumber"/>
      </w:pPr>
      <w:r>
        <w:t>Test Pearson or Spearman relationships where useful.</w:t>
      </w:r>
    </w:p>
    <w:p>
      <w:pPr>
        <w:pStyle w:val="ListNumber"/>
      </w:pPr>
      <w:r>
        <w:t>Export evidence or move selected findings into a presentation layout.</w:t>
      </w:r>
    </w:p>
    <w:p>
      <w:pPr>
        <w:pStyle w:val="Heading2"/>
      </w:pPr>
      <w:r>
        <w:t>Import a file safely</w:t>
      </w:r>
    </w:p>
    <w:p>
      <w:pPr>
        <w:pStyle w:val="ListNumber"/>
      </w:pPr>
      <w:r>
        <w:t>Choose the import type, delimiter, destination, and existing-table policy.</w:t>
      </w:r>
    </w:p>
    <w:p>
      <w:pPr>
        <w:pStyle w:val="ListNumber"/>
      </w:pPr>
      <w:r>
        <w:t>Run the import pre-check to inspect structure before data is written.</w:t>
      </w:r>
    </w:p>
    <w:p>
      <w:pPr>
        <w:pStyle w:val="ListNumber"/>
      </w:pPr>
      <w:r>
        <w:t>Review inferred columns and data-type suggestions.</w:t>
      </w:r>
    </w:p>
    <w:p>
      <w:pPr>
        <w:pStyle w:val="ListNumber"/>
      </w:pPr>
      <w:r>
        <w:t>Resolve naming, collision, or schema issues.</w:t>
      </w:r>
    </w:p>
    <w:p>
      <w:pPr>
        <w:pStyle w:val="ListNumber"/>
      </w:pPr>
      <w:r>
        <w:t>Execute the import and verify the resulting table through the same exploration tools.</w:t>
      </w:r>
    </w:p>
    <w:p>
      <w:pPr>
        <w:pStyle w:val="Heading2"/>
      </w:pPr>
      <w:r>
        <w:t>Restructure and republish</w:t>
      </w:r>
    </w:p>
    <w:p>
      <w:pPr>
        <w:pStyle w:val="ListNumber"/>
      </w:pPr>
      <w:r>
        <w:t>Validate target table/column names and any script.</w:t>
      </w:r>
    </w:p>
    <w:p>
      <w:pPr>
        <w:pStyle w:val="ListNumber"/>
      </w:pPr>
      <w:r>
        <w:t>Create, rename, move, insert, or drop through command handlers.</w:t>
      </w:r>
    </w:p>
    <w:p>
      <w:pPr>
        <w:pStyle w:val="ListNumber"/>
      </w:pPr>
      <w:r>
        <w:t>Use query-to-table copy when a derived dataset must become reusable.</w:t>
      </w:r>
    </w:p>
    <w:p>
      <w:pPr>
        <w:pStyle w:val="ListNumber"/>
      </w:pPr>
      <w:r>
        <w:t>Re-profile the result.</w:t>
      </w:r>
    </w:p>
    <w:p>
      <w:pPr>
        <w:pStyle w:val="ListNumber"/>
      </w:pPr>
      <w:r>
        <w:t>Export the dataset/statistics or compose an Excel presentation.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PRODUCT INTERNALS</w:t>
      </w:r>
    </w:p>
    <w:p>
      <w:pPr>
        <w:pStyle w:val="Heading1"/>
      </w:pPr>
      <w:r>
        <w:t>Architecture and data boundaries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A practical view of the layers that make the product maintainable and extensible.</w:t>
      </w:r>
    </w:p>
    <w:p>
      <w:pPr>
        <w:pStyle w:val="Heading2"/>
      </w:pPr>
      <w:r>
        <w:t>Presentation surface</w:t>
      </w:r>
    </w:p>
    <w:p>
      <w:r>
        <w:t>DataManagement WinForms user controls and DataPresenter/ExcelDataPresenter.</w:t>
      </w:r>
    </w:p>
    <w:p>
      <w:pPr>
        <w:pStyle w:val="Heading2"/>
      </w:pPr>
      <w:r>
        <w:t>Application layer</w:t>
      </w:r>
    </w:p>
    <w:p>
      <w:r>
        <w:t>DataManagementApp command/query handlers and logic implementations, coordinated with MediatR.</w:t>
      </w:r>
    </w:p>
    <w:p>
      <w:pPr>
        <w:pStyle w:val="Heading2"/>
      </w:pPr>
      <w:r>
        <w:t>Repository boundary</w:t>
      </w:r>
    </w:p>
    <w:p>
      <w:r>
        <w:t>IDatabase_Repository abstracts data access operations.</w:t>
      </w:r>
    </w:p>
    <w:p>
      <w:pPr>
        <w:pStyle w:val="Heading2"/>
      </w:pPr>
      <w:r>
        <w:t>Providers</w:t>
      </w:r>
    </w:p>
    <w:p>
      <w:r>
        <w:t>Database_ADONetRepository for SQL Server-style access, plus MySQL and SQLite implementations.</w:t>
      </w:r>
    </w:p>
    <w:p>
      <w:pPr>
        <w:pStyle w:val="Heading2"/>
      </w:pPr>
      <w:r>
        <w:t>Presentation model</w:t>
      </w:r>
    </w:p>
    <w:p>
      <w:r>
        <w:t>Excel worksheets, layouts, ranges, chart types, rules, cell visibility, and date-format parameters.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shd w:fill="F4F6F3"/>
          </w:tcPr>
          <w:p>
            <w:r>
              <w:rPr>
                <w:rFonts w:ascii="Aptos" w:hAnsi="Aptos"/>
                <w:b/>
                <w:i w:val="0"/>
                <w:color w:val="FF785F"/>
                <w:sz w:val="18"/>
              </w:rPr>
              <w:t xml:space="preserve">ARCHITECTURE PRINCIPLE  </w:t>
            </w:r>
            <w:r>
              <w:rPr>
                <w:rFonts w:ascii="Aptos" w:hAnsi="Aptos"/>
                <w:b/>
                <w:i w:val="0"/>
                <w:color w:val="102C27"/>
                <w:sz w:val="21"/>
              </w:rPr>
              <w:t>User interfaces coordinate work; business rules remain in logic/services; persistence remains behind repository boundaries; entities and configuration carry shared contracts.</w:t>
            </w:r>
          </w:p>
        </w:tc>
      </w:tr>
    </w:tbl>
    <w:p/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CONNECTED OPERATION</w:t>
      </w:r>
    </w:p>
    <w:p>
      <w:pPr>
        <w:pStyle w:val="Heading1"/>
      </w:pPr>
      <w:r>
        <w:t>Integrations and deployment considerations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Confirmed integration categories, with environment-specific limits stated explicitly.</w:t>
      </w:r>
    </w:p>
    <w:p>
      <w:pPr>
        <w:pStyle w:val="ListBullet"/>
      </w:pPr>
      <w:r>
        <w:t>SQL Server through ADO.NET/SqlConnection-style repository code.</w:t>
      </w:r>
    </w:p>
    <w:p>
      <w:pPr>
        <w:pStyle w:val="ListBullet"/>
      </w:pPr>
      <w:r>
        <w:t>MySQL through a dedicated repository implementation.</w:t>
      </w:r>
    </w:p>
    <w:p>
      <w:pPr>
        <w:pStyle w:val="ListBullet"/>
      </w:pPr>
      <w:r>
        <w:t>SQLite through a dedicated repository implementation and local configuration keys.</w:t>
      </w:r>
    </w:p>
    <w:p>
      <w:pPr>
        <w:pStyle w:val="ListBullet"/>
      </w:pPr>
      <w:r>
        <w:t>DevExpress WinForms/Charts for professional desktop visualizations.</w:t>
      </w:r>
    </w:p>
    <w:p>
      <w:pPr>
        <w:pStyle w:val="ListBullet"/>
      </w:pPr>
      <w:r>
        <w:t>Excel-oriented presentation components for worksheet, range, rule, and chart composition.</w:t>
      </w:r>
    </w:p>
    <w:p>
      <w:pPr>
        <w:pStyle w:val="ListBullet"/>
      </w:pPr>
      <w:r>
        <w:t>File export and FTP-related UI markers are present; deployment-specific FTP behavior should be confirmed in configuration before customer commitments.</w:t>
      </w:r>
    </w:p>
    <w:p>
      <w:pPr>
        <w:pStyle w:val="Heading2"/>
      </w:pPr>
      <w:r>
        <w:t>Security and operational boundaries</w:t>
      </w:r>
    </w:p>
    <w:p>
      <w:pPr>
        <w:pStyle w:val="ListBullet"/>
      </w:pPr>
      <w:r>
        <w:t>No passwords, keys, certificates, tokens, or connection-string values are reproduced in this document.</w:t>
      </w:r>
    </w:p>
    <w:p>
      <w:pPr>
        <w:pStyle w:val="ListBullet"/>
      </w:pPr>
      <w:r>
        <w:t>Production database changes, migrations, activation, payment, terminal, email, and notification behavior require deployment-specific validation.</w:t>
      </w:r>
    </w:p>
    <w:p>
      <w:pPr>
        <w:pStyle w:val="ListBullet"/>
      </w:pPr>
      <w:r>
        <w:t>The product descriptions distinguish code-visible capability from environment-specific configuration and commercial packaging.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COMPETITIVE POSITION</w:t>
      </w:r>
    </w:p>
    <w:p>
      <w:pPr>
        <w:pStyle w:val="Heading1"/>
      </w:pPr>
      <w:r>
        <w:t>Why this product is different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Differentiation grounded in the breadth and connectedness of the implemented domain.</w:t>
      </w:r>
    </w:p>
    <w:p>
      <w:pPr>
        <w:pStyle w:val="Heading2"/>
      </w:pPr>
      <w:r>
        <w:t>1. Quality analysis precedes data movement</w:t>
      </w:r>
    </w:p>
    <w:p>
      <w:r>
        <w:t>Quality analysis precedes data movement: missingness, distributions, statistics, and correlations are available before users export or restructure.</w:t>
      </w:r>
    </w:p>
    <w:p>
      <w:pPr>
        <w:pStyle w:val="Heading2"/>
      </w:pPr>
      <w:r>
        <w:t>2. Connected advantage</w:t>
      </w:r>
    </w:p>
    <w:p>
      <w:r>
        <w:t>A shared repository contract reduces the need to learn a completely different workflow for SQL Server, MySQL, and SQLite.</w:t>
      </w:r>
    </w:p>
    <w:p>
      <w:pPr>
        <w:pStyle w:val="Heading2"/>
      </w:pPr>
      <w:r>
        <w:t>3. Import behavior is explicit</w:t>
      </w:r>
    </w:p>
    <w:p>
      <w:r>
        <w:t>Import behavior is explicit: pre-checks, delimiters, inferred types, and table-collision policies make consequences visible before execution.</w:t>
      </w:r>
    </w:p>
    <w:p>
      <w:pPr>
        <w:pStyle w:val="Heading2"/>
      </w:pPr>
      <w:r>
        <w:t>4. Connected advantage</w:t>
      </w:r>
    </w:p>
    <w:p>
      <w:r>
        <w:t>Database editing and analytical profiling coexist; users do not have to abandon operational context to understand the data they are changing.</w:t>
      </w:r>
    </w:p>
    <w:p>
      <w:pPr>
        <w:pStyle w:val="Heading2"/>
      </w:pPr>
      <w:r>
        <w:t>5. Connected advantage</w:t>
      </w:r>
    </w:p>
    <w:p>
      <w:r>
        <w:t>Findings can continue into query-to-table copies, statistics exports, charts, and Excel layouts instead of ending as a temporary query result.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EVALUATION GUIDE</w:t>
      </w:r>
    </w:p>
    <w:p>
      <w:pPr>
        <w:pStyle w:val="Heading1"/>
      </w:pPr>
      <w:r>
        <w:t>What to demonstrate and verify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A focused checklist for product discovery, demonstrations, and implementation planning.</w:t>
      </w:r>
    </w:p>
    <w:p>
      <w:pPr>
        <w:pStyle w:val="ListBullet"/>
      </w:pPr>
      <w:r>
        <w:t>Demonstrate one complete user journey rather than isolated screens.</w:t>
      </w:r>
    </w:p>
    <w:p>
      <w:pPr>
        <w:pStyle w:val="ListBullet"/>
      </w:pPr>
      <w:r>
        <w:t>Show how role-specific actions update shared operational state.</w:t>
      </w:r>
    </w:p>
    <w:p>
      <w:pPr>
        <w:pStyle w:val="ListBullet"/>
      </w:pPr>
      <w:r>
        <w:t>Confirm data ownership, repository/provider choice, and environment configuration.</w:t>
      </w:r>
    </w:p>
    <w:p>
      <w:pPr>
        <w:pStyle w:val="ListBullet"/>
      </w:pPr>
      <w:r>
        <w:t>Validate hardware or external-service compatibility in the target deployment.</w:t>
      </w:r>
    </w:p>
    <w:p>
      <w:pPr>
        <w:pStyle w:val="ListBullet"/>
      </w:pPr>
      <w:r>
        <w:t>Agree reporting, localization, branding, retention, backup, and audit expectations.</w:t>
      </w:r>
    </w:p>
    <w:p>
      <w:pPr>
        <w:pStyle w:val="ListBullet"/>
      </w:pPr>
      <w:r>
        <w:t>Use a non-production database and representative sample data for acceptance testing.</w:t>
      </w:r>
    </w:p>
    <w:p>
      <w:pPr>
        <w:pStyle w:val="Heading2"/>
      </w:pPr>
      <w:r>
        <w:t>Recommended proof points</w:t>
      </w:r>
    </w:p>
    <w:p>
      <w:pPr>
        <w:pStyle w:val="ListBullet"/>
      </w:pPr>
      <w:r>
        <w:t>Profile an unfamiliar database: demonstrate the flow from connect through a supported repository implementation. through export evidence or move selected findings into a presentation layout.</w:t>
      </w:r>
    </w:p>
    <w:p>
      <w:pPr>
        <w:pStyle w:val="ListBullet"/>
      </w:pPr>
      <w:r>
        <w:t>Import a file safely: demonstrate the flow from choose the import type, delimiter, destination, and existing-table policy. through execute the import and verify the resulting table through the same exploration tools.</w:t>
      </w:r>
    </w:p>
    <w:p>
      <w:pPr>
        <w:pStyle w:val="ListBullet"/>
      </w:pPr>
      <w:r>
        <w:t>Restructure and republish: demonstrate the flow from validate target table/column names and any script. through export the dataset/statistics or compose an excel presentation.</w:t>
      </w:r>
    </w:p>
    <w:p>
      <w:r>
        <w:br w:type="page"/>
      </w:r>
    </w:p>
    <w:p>
      <w:pPr>
        <w:spacing w:after="40"/>
      </w:pPr>
      <w:r>
        <w:rPr>
          <w:rFonts w:ascii="Aptos" w:hAnsi="Aptos"/>
          <w:b/>
          <w:i w:val="0"/>
          <w:color w:val="FF785F"/>
          <w:sz w:val="18"/>
        </w:rPr>
        <w:t>TRACEABILITY</w:t>
      </w:r>
    </w:p>
    <w:p>
      <w:pPr>
        <w:pStyle w:val="Heading1"/>
      </w:pPr>
      <w:r>
        <w:t>Code-evidence appendix</w:t>
      </w:r>
    </w:p>
    <w:p>
      <w:pPr>
        <w:spacing w:after="240"/>
      </w:pPr>
      <w:r>
        <w:rPr>
          <w:rFonts w:ascii="Aptos" w:hAnsi="Aptos"/>
          <w:b w:val="0"/>
          <w:i/>
          <w:color w:val="1F4D78"/>
          <w:sz w:val="24"/>
        </w:rPr>
        <w:t>Source areas used to verify the product description. Paths are relative to the appropriate product root.</w:t>
      </w:r>
    </w:p>
    <w:p>
      <w:pPr>
        <w:pStyle w:val="ListBullet"/>
      </w:pPr>
      <w:r>
        <w:t>DataManagementApp/Logic/Database/Commands</w:t>
      </w:r>
    </w:p>
    <w:p>
      <w:pPr>
        <w:pStyle w:val="ListBullet"/>
      </w:pPr>
      <w:r>
        <w:t>DataManagementApp/Logic/Database/Queries</w:t>
      </w:r>
    </w:p>
    <w:p>
      <w:pPr>
        <w:pStyle w:val="ListBullet"/>
      </w:pPr>
      <w:r>
        <w:t>DataManagementApp/Logic/DataImport</w:t>
      </w:r>
    </w:p>
    <w:p>
      <w:pPr>
        <w:pStyle w:val="ListBullet"/>
      </w:pPr>
      <w:r>
        <w:t>DataManagementApp/Logic/DataExport</w:t>
      </w:r>
    </w:p>
    <w:p>
      <w:pPr>
        <w:pStyle w:val="ListBullet"/>
      </w:pPr>
      <w:r>
        <w:t>DataManagementApp/Repositories</w:t>
      </w:r>
    </w:p>
    <w:p>
      <w:pPr>
        <w:pStyle w:val="ListBullet"/>
      </w:pPr>
      <w:r>
        <w:t>DataPresenter/ExcelDataPresenter/UserControls</w:t>
      </w:r>
    </w:p>
    <w:p>
      <w:pPr>
        <w:pStyle w:val="Heading2"/>
      </w:pPr>
      <w:r>
        <w:t>Interpretation notes</w:t>
      </w:r>
    </w:p>
    <w:p>
      <w:r>
        <w:t>Capability statements are based on source-visible projects, types, commands, queries, screens, repositories, and integration markers. They do not imply that every capability is enabled in every deployment, license, customer configuration, or device environment.</w:t>
      </w:r>
    </w:p>
    <w:p>
      <w:r>
        <w:t>This guide is product documentation, not a database schema specification, security assessment, or deployment runbook. Those should be produced against the exact release and target environment.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ptos" w:hAnsi="Aptos"/>
        <w:b w:val="0"/>
        <w:i w:val="0"/>
        <w:color w:val="66736F"/>
        <w:sz w:val="16"/>
      </w:rPr>
      <w:t xml:space="preserve">RhoMinds Product Guide  •  July 2026     </w:t>
    </w:r>
    <w:r/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ptos" w:hAnsi="Aptos"/>
        <w:b/>
        <w:i w:val="0"/>
        <w:color w:val="66736F"/>
        <w:sz w:val="16"/>
      </w:rPr>
      <w:t>RHOMINDS  /  DATA INTELLIGENCE PLATFORM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Aptos" w:hAnsi="Aptos"/>
      <w:color w:val="222222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Aptos" w:hAnsi="Aptos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ptos" w:hAnsi="Aptos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102C27"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0" w:after="160"/>
    </w:pPr>
    <w:rPr>
      <w:rFonts w:asciiTheme="majorHAnsi" w:eastAsiaTheme="majorEastAsia" w:hAnsiTheme="majorHAnsi" w:cstheme="majorBidi" w:ascii="Aptos" w:hAnsi="Aptos"/>
      <w:b w:val="0"/>
      <w:i/>
      <w:iCs/>
      <w:color w:val="1F4D78"/>
      <w:spacing w:val="15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 Data Management Product Guide</dc:title>
  <dc:subject>A code-verified guide to database exploration, profiling, restructuring, transfer, and presentation</dc:subject>
  <dc:creator>RhoMinds</dc:creator>
  <cp:keywords>RhoMinds, product guide, source-verified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